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4" w:right="0" w:hanging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勞動部勞動力發展署中彰投分署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4" w:right="0" w:hanging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111111"/>
          <w:sz w:val="32"/>
          <w:szCs w:val="32"/>
          <w:u w:val="none"/>
          <w:shd w:fill="auto" w:val="clear"/>
          <w:vertAlign w:val="baseline"/>
          <w:rtl w:val="0"/>
        </w:rPr>
        <w:t xml:space="preserve">113年身心障礙者職業重建服務資源暨徵才活動實施計畫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720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壹、 目的：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80" w:lineRule="auto"/>
        <w:ind w:left="720" w:right="0" w:firstLine="5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配合畢業季及轉職者需求，特辦理身心障礙者徵才媒合活動，號召具社會責任之企業廠商及地方政府共同參與，從職涯角度導入，連結各方資源，提供全面性、連續性及加值性的各項措施服務資訊平台；並整合身心障礙職業重建資源，提供全方位產業趨勢、工作機會、工作體驗、職涯規劃、職業訓練及就業促進工具等服務，協助身障者儘速就業及發展個人職涯藍圖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both"/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貳、辦理單位：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56" w:right="0" w:hanging="69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一、指導單位：勞動部勞動力發展署。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07" w:right="0" w:hanging="541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二、主辦單位：勞動部勞動力發展署中彰投分署。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58" w:right="0" w:hanging="392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三、共同主辦單位：臺中市政府勞工局、彰化縣政府、南投縣政府。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58" w:right="0" w:hanging="392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四、協辦單位：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財團法人台中世界貿易中心。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both"/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參、辦理時間、地點：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一、日期：113年4月23日(星期二)。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二、時間：上午10時至下午2時。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三、地點：台中世貿中心2館（臺中市西屯區天保街60號）。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" w:line="240" w:lineRule="auto"/>
        <w:ind w:left="0" w:right="0" w:firstLine="0"/>
        <w:jc w:val="both"/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肆、規劃執行內容：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4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一、依採購法相關規定，公開招標委託辦理。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4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二、強化媒體行銷，活動前進行密集系列宣導活動。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87" w:right="0" w:hanging="435.9999999999999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(一)用本分署現有行銷管道，活動前發布活動訊息及事後新聞稿。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87" w:right="0" w:hanging="435.9999999999999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(二)行文地方政府勞工主管機關，運用府內新聞資源管道代為宣導。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87" w:right="0" w:hanging="435.9999999999999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(三)活動前於交通要道掛置羅馬旗、直立旗宣導。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87" w:right="0" w:hanging="435.9999999999999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(四)規劃宣傳亮點，積極吸引民眾參與活動。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57" w:before="57" w:line="240" w:lineRule="auto"/>
        <w:ind w:left="1134" w:right="0" w:hanging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三、設置各服務專區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124"/>
        </w:tabs>
        <w:spacing w:after="0" w:before="0" w:line="240" w:lineRule="auto"/>
        <w:ind w:left="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(一)【舞台區】：搭設小舞台，作為開幕式及播放業務宣導短片之用，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48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規劃於開幕式後的舞台上，播放介紹本分署簡介及相關身障服務資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48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源等內容，以動態畫面及重覆播放的方式，加深民眾印象及使用資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48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源的機會。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4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(二)【企業徵才區】：邀請未足額進用身障者、經職務再設計評估改善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或其他身障友善等廠商參與，採線上面試、實體廠商設攤雙軌進行，預計邀請20家。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(三)【金展獎企業故事分享區】：展示曾獲金展獎之友善單位進用經驗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故事分享，鼓勵其他企業效仿，共同創造友善職場，預計展示3~5家友善企業案例故事。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0" w:right="0" w:firstLine="87.00000000000003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(四)【職涯探索區】：提供模擬面試區、履歷健診、職涯諮詢服務。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(五)【資源諮詢區】:6個攤位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1.地方政府職業重建等身障資源諮詢服務3個攤位（各縣市1攤位）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2.本分署職業訓練諮詢1攤位。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3.本分署好康報報就業諮詢1攤位。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4.無礙e網現場教學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(六)【專業委託成果區】：展現委辦「職業重建資源中心」及「職務再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60" w:right="0" w:firstLine="48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設計」專案單位執行成果內容，規劃2個攤位。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12"/>
          <w:tab w:val="left" w:leader="none" w:pos="3565"/>
        </w:tabs>
        <w:spacing w:after="0" w:before="0" w:line="240" w:lineRule="auto"/>
        <w:ind w:left="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(七)【產業說明會區】：邀請業界講師進行2場次產業說明會，每場次1            小時。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12"/>
          <w:tab w:val="left" w:leader="none" w:pos="3565"/>
        </w:tabs>
        <w:spacing w:after="0" w:before="0" w:line="240" w:lineRule="auto"/>
        <w:ind w:left="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(八)【加值服務】：提供美髮義剪服務，規劃1個攤位。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12"/>
          <w:tab w:val="left" w:leader="none" w:pos="3565"/>
        </w:tabs>
        <w:spacing w:after="0" w:before="0" w:line="240" w:lineRule="auto"/>
        <w:ind w:left="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(九)【其他】:求才、貴賓(媒體)接待區、求職填表區、休息區等。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27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四、交通接駁規劃：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27"/>
        </w:tabs>
        <w:spacing w:after="0" w:before="0" w:line="240" w:lineRule="auto"/>
        <w:ind w:left="0" w:right="-283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(一)臺中地區:考量大眾交通運輸工具便利，預定於臺灣大道與工業區一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27"/>
        </w:tabs>
        <w:spacing w:after="0" w:before="0" w:line="240" w:lineRule="auto"/>
        <w:ind w:left="0" w:right="-283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ab/>
        <w:tab/>
        <w:t xml:space="preserve">路口安排1輛接駁車輛，來回接送民眾達會場。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(二)彰化地區:預定租借2輛大型復康巴士，規劃於員林火車站和彰化火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車站安排2部車來回接送，由彰化縣政府勞工處擔任連繫窗口及隨車。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25"/>
        </w:tabs>
        <w:spacing w:after="0" w:before="0" w:line="240" w:lineRule="auto"/>
        <w:ind w:left="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(三)南投地區:預定租借1輛大型復康巴士，規劃由埔里發車、行經草屯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244"/>
        </w:tabs>
        <w:spacing w:after="0" w:before="0" w:line="240" w:lineRule="auto"/>
        <w:ind w:left="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 xml:space="preserve"> 開往世貿來回接送，由南投縣政府社會處擔任聯繫窗口及隨車。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(四)學校學生接駁：調查參與學校家數，預定租借2輛大型巴士。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陸、預期效益：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17" w:right="0" w:hanging="90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一、預估身心障礙求職者參與人數400人。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4" w:right="0" w:hanging="62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二、整合身心障礙職業重建資源，提供全方位產業趨勢、工作機會、職涯規劃、職業訓練及就業促進工具等服務。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4" w:right="0" w:hanging="62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三、強化政府關懷身心障礙者就業與優質就業服務的形象、功能。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柒、經費：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由本分署113年就業安定基金支應。</w:t>
      </w:r>
      <w:r w:rsidDel="00000000" w:rsidR="00000000" w:rsidRPr="00000000">
        <w:rPr>
          <w:rtl w:val="0"/>
        </w:rPr>
      </w:r>
    </w:p>
    <w:sectPr>
      <w:footerReference r:id="rId6" w:type="default"/>
      <w:pgSz w:h="16838" w:w="11906" w:orient="portrait"/>
      <w:pgMar w:bottom="1021" w:top="680" w:left="1134" w:right="1134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DFKai-SB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  <w:ind w:left="0" w:firstLine="0"/>
      <w:jc w:val="center"/>
    </w:pPr>
    <w:rPr>
      <w:sz w:val="32"/>
      <w:szCs w:val="32"/>
    </w:rPr>
  </w:style>
  <w:style w:type="paragraph" w:styleId="Heading2">
    <w:name w:val="heading 2"/>
    <w:basedOn w:val="Normal"/>
    <w:next w:val="Normal"/>
    <w:pPr>
      <w:spacing w:line="240" w:lineRule="auto"/>
      <w:ind w:left="0" w:firstLine="0"/>
      <w:jc w:val="center"/>
    </w:pPr>
    <w:rPr>
      <w:sz w:val="32"/>
      <w:szCs w:val="32"/>
    </w:rPr>
  </w:style>
  <w:style w:type="paragraph" w:styleId="Heading3">
    <w:name w:val="heading 3"/>
    <w:basedOn w:val="Normal"/>
    <w:next w:val="Normal"/>
    <w:pPr>
      <w:spacing w:line="240" w:lineRule="auto"/>
      <w:ind w:left="0" w:firstLine="0"/>
      <w:jc w:val="center"/>
    </w:pPr>
    <w:rPr>
      <w:sz w:val="32"/>
      <w:szCs w:val="32"/>
    </w:rPr>
  </w:style>
  <w:style w:type="paragraph" w:styleId="Heading4">
    <w:name w:val="heading 4"/>
    <w:basedOn w:val="Normal"/>
    <w:next w:val="Normal"/>
    <w:pPr>
      <w:spacing w:line="240" w:lineRule="auto"/>
      <w:ind w:left="0" w:firstLine="0"/>
      <w:jc w:val="center"/>
    </w:pPr>
    <w:rPr>
      <w:sz w:val="32"/>
      <w:szCs w:val="32"/>
    </w:rPr>
  </w:style>
  <w:style w:type="paragraph" w:styleId="Heading5">
    <w:name w:val="heading 5"/>
    <w:basedOn w:val="Normal"/>
    <w:next w:val="Normal"/>
    <w:pPr>
      <w:spacing w:line="240" w:lineRule="auto"/>
      <w:ind w:left="0" w:firstLine="0"/>
      <w:jc w:val="center"/>
    </w:pPr>
    <w:rPr>
      <w:sz w:val="32"/>
      <w:szCs w:val="32"/>
    </w:rPr>
  </w:style>
  <w:style w:type="paragraph" w:styleId="Heading6">
    <w:name w:val="heading 6"/>
    <w:basedOn w:val="Normal"/>
    <w:next w:val="Normal"/>
    <w:pPr>
      <w:spacing w:line="240" w:lineRule="auto"/>
      <w:ind w:left="0" w:firstLine="0"/>
      <w:jc w:val="center"/>
    </w:pPr>
    <w:rPr>
      <w:sz w:val="32"/>
      <w:szCs w:val="3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>Info 1</vt:lpwstr>
  </property>
  <property fmtid="{D5CDD505-2E9C-101B-9397-08002B2CF9AE}" pid="3" name="Info 4">
    <vt:lpwstr>Info 4</vt:lpwstr>
  </property>
  <property fmtid="{D5CDD505-2E9C-101B-9397-08002B2CF9AE}" pid="4" name="Info 3">
    <vt:lpwstr>Info 3</vt:lpwstr>
  </property>
  <property fmtid="{D5CDD505-2E9C-101B-9397-08002B2CF9AE}" pid="5" name="Info 2">
    <vt:lpwstr>Info 2</vt:lpwstr>
  </property>
</Properties>
</file>